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FC7B42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571683" w:rsidP="00C37F7F">
      <w:pPr>
        <w:pStyle w:val="Heading1"/>
      </w:pPr>
      <w:r>
        <w:t>Monday, August 20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35E13" w:rsidRDefault="00571683" w:rsidP="00235E13">
            <w:pPr>
              <w:pStyle w:val="ListParagraph"/>
              <w:numPr>
                <w:ilvl w:val="0"/>
                <w:numId w:val="11"/>
              </w:numPr>
            </w:pPr>
            <w:r>
              <w:t>Warm-up to review vocabulary terms/ finding angle measures</w:t>
            </w:r>
          </w:p>
          <w:p w:rsidR="000E60C3" w:rsidRDefault="0073027E" w:rsidP="00C37F7F">
            <w:r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0574B" w:rsidRDefault="00571683" w:rsidP="00D6043E">
            <w:pPr>
              <w:pStyle w:val="ListParagraph"/>
              <w:numPr>
                <w:ilvl w:val="0"/>
                <w:numId w:val="12"/>
              </w:numPr>
            </w:pPr>
            <w:r>
              <w:t xml:space="preserve">Extra practice as indicated by results of homework discussion and warm-up </w:t>
            </w:r>
          </w:p>
          <w:p w:rsidR="00571683" w:rsidRDefault="00571683" w:rsidP="00D6043E">
            <w:pPr>
              <w:pStyle w:val="ListParagraph"/>
              <w:numPr>
                <w:ilvl w:val="0"/>
                <w:numId w:val="12"/>
              </w:numPr>
            </w:pPr>
            <w:r>
              <w:t>Quiz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E60C3">
            <w:r>
              <w:t>Students will understand radians measures in preparation of learning the Unit Circle.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571683" w:rsidP="00FB0835">
            <w:r>
              <w:t>Extra practice with angles and their measures</w:t>
            </w:r>
            <w:bookmarkStart w:id="0" w:name="_GoBack"/>
            <w:bookmarkEnd w:id="0"/>
            <w:r w:rsidR="00E9527A">
              <w:t xml:space="preserve"> 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137F25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E9527A">
        <w:rPr>
          <w:b w:val="0"/>
        </w:rPr>
        <w:t xml:space="preserve">Students may be reluctant to work problems with fractional values.  Demonstrate conversion of radians to degrees in order to determine the sought after value.  Students should understand that they </w:t>
      </w:r>
      <w:r w:rsidR="0040574B">
        <w:rPr>
          <w:b w:val="0"/>
        </w:rPr>
        <w:t>must convert back in order to keep compatibility with original problem.</w:t>
      </w:r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42" w:rsidRDefault="00FC7B42" w:rsidP="00555D3B">
      <w:pPr>
        <w:spacing w:before="0" w:after="0" w:line="240" w:lineRule="auto"/>
      </w:pPr>
      <w:r>
        <w:separator/>
      </w:r>
    </w:p>
  </w:endnote>
  <w:endnote w:type="continuationSeparator" w:id="0">
    <w:p w:rsidR="00FC7B42" w:rsidRDefault="00FC7B4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42" w:rsidRDefault="00FC7B42" w:rsidP="00555D3B">
      <w:pPr>
        <w:spacing w:before="0" w:after="0" w:line="240" w:lineRule="auto"/>
      </w:pPr>
      <w:r>
        <w:separator/>
      </w:r>
    </w:p>
  </w:footnote>
  <w:footnote w:type="continuationSeparator" w:id="0">
    <w:p w:rsidR="00FC7B42" w:rsidRDefault="00FC7B4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355D"/>
    <w:rsid w:val="00025FAF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B126A"/>
    <w:rsid w:val="004D5D7E"/>
    <w:rsid w:val="004D5DAC"/>
    <w:rsid w:val="004F323F"/>
    <w:rsid w:val="00555D3B"/>
    <w:rsid w:val="00563DC8"/>
    <w:rsid w:val="00571683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75D8B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553FE0"/>
    <w:rsid w:val="005D7955"/>
    <w:rsid w:val="008113EA"/>
    <w:rsid w:val="008551B5"/>
    <w:rsid w:val="0088762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2018-08-22T19:36:00Z</dcterms:created>
  <dcterms:modified xsi:type="dcterms:W3CDTF">2018-08-22T19:36:00Z</dcterms:modified>
</cp:coreProperties>
</file>